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宋体" w:cs="Times New Roman"/>
          <w:b/>
          <w:sz w:val="52"/>
          <w:szCs w:val="52"/>
        </w:rPr>
      </w:pPr>
    </w:p>
    <w:p>
      <w:pPr>
        <w:spacing w:line="560" w:lineRule="exact"/>
        <w:jc w:val="center"/>
        <w:rPr>
          <w:rFonts w:eastAsia="宋体" w:cs="Times New Roman"/>
          <w:b/>
          <w:sz w:val="10"/>
          <w:szCs w:val="10"/>
        </w:rPr>
      </w:pPr>
      <w:r>
        <w:rPr>
          <w:rFonts w:eastAsia="宋体" w:cs="Times New Roman"/>
          <w:b/>
          <w:sz w:val="10"/>
          <w:szCs w:val="10"/>
        </w:rPr>
        <w:t xml:space="preserve">                     </w:t>
      </w:r>
    </w:p>
    <w:p>
      <w:pPr>
        <w:spacing w:line="560" w:lineRule="exact"/>
        <w:jc w:val="center"/>
        <w:rPr>
          <w:rFonts w:eastAsia="宋体" w:cs="Times New Roman"/>
          <w:b/>
          <w:sz w:val="10"/>
          <w:szCs w:val="10"/>
        </w:rPr>
      </w:pPr>
    </w:p>
    <w:p>
      <w:pPr>
        <w:spacing w:line="560" w:lineRule="exact"/>
        <w:jc w:val="center"/>
        <w:rPr>
          <w:rFonts w:eastAsia="宋体" w:cs="Times New Roman"/>
          <w:b/>
          <w:sz w:val="10"/>
          <w:szCs w:val="10"/>
        </w:rPr>
      </w:pPr>
    </w:p>
    <w:p>
      <w:pPr>
        <w:spacing w:line="560" w:lineRule="exact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eastAsia="宋体" w:cs="Times New Roman"/>
          <w:b/>
          <w:sz w:val="44"/>
          <w:szCs w:val="44"/>
        </w:rPr>
        <w:t xml:space="preserve">                        </w:t>
      </w:r>
      <w:r>
        <w:rPr>
          <w:rFonts w:hint="eastAsia" w:eastAsia="宋体" w:cs="Times New Roman"/>
          <w:b/>
          <w:sz w:val="44"/>
          <w:szCs w:val="44"/>
        </w:rPr>
        <w:t xml:space="preserve">     </w:t>
      </w:r>
      <w:r>
        <w:rPr>
          <w:rFonts w:hint="eastAsia" w:ascii="宋体" w:hAnsi="宋体" w:eastAsia="宋体" w:cs="Times New Roman"/>
          <w:b/>
          <w:sz w:val="36"/>
          <w:szCs w:val="36"/>
        </w:rPr>
        <w:t xml:space="preserve"> </w:t>
      </w:r>
    </w:p>
    <w:p>
      <w:pPr>
        <w:tabs>
          <w:tab w:val="left" w:pos="7590"/>
        </w:tabs>
        <w:spacing w:line="560" w:lineRule="exact"/>
        <w:jc w:val="left"/>
        <w:rPr>
          <w:rFonts w:eastAsia="宋体" w:cs="Times New Roman"/>
          <w:b/>
          <w:sz w:val="44"/>
          <w:szCs w:val="44"/>
        </w:rPr>
      </w:pPr>
      <w:r>
        <w:rPr>
          <w:rFonts w:eastAsia="宋体" w:cs="Times New Roman"/>
          <w:b/>
          <w:sz w:val="52"/>
          <w:szCs w:val="52"/>
        </w:rPr>
        <w:tab/>
      </w:r>
    </w:p>
    <w:p>
      <w:pPr>
        <w:spacing w:line="560" w:lineRule="exact"/>
        <w:jc w:val="center"/>
        <w:rPr>
          <w:rFonts w:ascii="仿宋_GB2312" w:eastAsia="宋体" w:cs="Times New Roman"/>
          <w:sz w:val="10"/>
          <w:szCs w:val="10"/>
        </w:rPr>
      </w:pPr>
    </w:p>
    <w:p>
      <w:pPr>
        <w:spacing w:line="56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曲自然资规字</w:t>
      </w:r>
      <w:r>
        <w:rPr>
          <w:rFonts w:hint="eastAsia" w:ascii="仿宋_GB2312" w:hAnsi="宋体" w:eastAsia="仿宋_GB2312" w:cs="Times New Roman"/>
          <w:sz w:val="32"/>
          <w:szCs w:val="32"/>
        </w:rPr>
        <w:t>〔20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Times New Roman"/>
          <w:sz w:val="32"/>
          <w:szCs w:val="32"/>
        </w:rPr>
        <w:t>〕</w:t>
      </w:r>
      <w:r>
        <w:rPr>
          <w:rFonts w:hint="eastAsia" w:ascii="仿宋_GB2312" w:hAnsi="宋体" w:cs="Times New Roman"/>
          <w:color w:val="000000"/>
          <w:sz w:val="32"/>
          <w:szCs w:val="32"/>
          <w:lang w:val="en-US" w:eastAsia="zh-CN"/>
        </w:rPr>
        <w:t>110</w:t>
      </w:r>
      <w:bookmarkStart w:id="0" w:name="_GoBack"/>
      <w:bookmarkEnd w:id="0"/>
      <w:r>
        <w:rPr>
          <w:rFonts w:hint="eastAsia" w:ascii="仿宋_GB2312" w:eastAsia="仿宋_GB2312" w:cs="Times New Roman"/>
          <w:sz w:val="32"/>
          <w:szCs w:val="32"/>
        </w:rPr>
        <w:t>号</w:t>
      </w:r>
    </w:p>
    <w:p>
      <w:pPr>
        <w:spacing w:line="560" w:lineRule="exact"/>
        <w:jc w:val="center"/>
        <w:rPr>
          <w:rFonts w:ascii="仿宋_GB2312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曲阳县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印发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《2022 年度“双随机、一公开”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监管工作培训方案》的通知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</w:rPr>
        <w:t>股室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为贯彻落实中央和省、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政府关于在市场监管领域全面推行“双随机、一公开”的监管要求，不断深入推进我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“双随机、一公开”监管工作，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</w:t>
      </w:r>
      <w:r>
        <w:rPr>
          <w:rFonts w:hint="eastAsia" w:ascii="仿宋" w:hAnsi="仿宋" w:eastAsia="仿宋" w:cs="仿宋"/>
          <w:sz w:val="32"/>
          <w:szCs w:val="32"/>
        </w:rPr>
        <w:t>制定了《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曲阳县自然资源和规划局</w:t>
      </w:r>
      <w:r>
        <w:rPr>
          <w:rFonts w:hint="eastAsia" w:ascii="仿宋" w:hAnsi="仿宋" w:eastAsia="仿宋" w:cs="仿宋"/>
          <w:sz w:val="32"/>
          <w:szCs w:val="32"/>
        </w:rPr>
        <w:t>2022 年度“双随机、一公开”监管工作培训方案》。现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印</w:t>
      </w:r>
      <w:r>
        <w:rPr>
          <w:rFonts w:hint="eastAsia" w:ascii="仿宋" w:hAnsi="仿宋" w:eastAsia="仿宋" w:cs="仿宋"/>
          <w:sz w:val="32"/>
          <w:szCs w:val="32"/>
        </w:rPr>
        <w:t>发给你们，请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认真抓好贯彻落实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曲阳县自然资源和规划局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2022年3月29日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曲阳县自然资源和规划局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2022年度“双随机、一公开”监管工作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培训方案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为贯彻落实市场监管领域全面推行“双随机、一公开”的监管要求，不断深入推进我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“双随机、一公开”监管工作，提升全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“双随机、一公开”监管工作人员业务能力和监管水平，制定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一、培训人员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“双随机、一公开”监管工作领导小组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办公室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全体成员，各股室</w:t>
      </w:r>
      <w:r>
        <w:rPr>
          <w:rFonts w:hint="eastAsia" w:ascii="仿宋" w:hAnsi="仿宋" w:eastAsia="仿宋" w:cs="仿宋"/>
          <w:sz w:val="32"/>
          <w:szCs w:val="32"/>
        </w:rPr>
        <w:t>“双随机、一公开”监管工作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业务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二、培训时间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计划组织开展培训两次：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第一次：3-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 xml:space="preserve"> 月份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第二次：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8 </w:t>
      </w:r>
      <w:r>
        <w:rPr>
          <w:rFonts w:hint="eastAsia" w:ascii="仿宋" w:hAnsi="仿宋" w:eastAsia="仿宋" w:cs="仿宋"/>
          <w:sz w:val="32"/>
          <w:szCs w:val="32"/>
        </w:rPr>
        <w:t>月份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依据疫情防控和实际工作需要具体培训时间另行通知。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三、培训目标和内容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培训目标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使受训人员深入学习各级关于“双随机、一公开”监管工作部署要求，认真贯彻落实全省市场监管工作会议精神,加强“双随机、一公开”监管理论学习，提高河北省双随机监管工作平台操作能力，提高“双随机、一公开”监管与企业信用风险分级分类相结合的能力，提升业务能力和执法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二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）培训内容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《“双随机、一公开”监管抽查工作规范》、“双随机、一公开”监管工作政策解读；信用监管工作解读；“双随机、一公开”监管与企业信用风险分级分类相结合解读；河北省双随机监管工作平台使用培训讲座及疑难问题解答；各级各部门工作学习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有关</w:t>
      </w:r>
      <w:r>
        <w:rPr>
          <w:rFonts w:hint="eastAsia" w:ascii="黑体" w:hAnsi="黑体" w:eastAsia="黑体" w:cs="黑体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(一)高度重视，确保效果。</w:t>
      </w:r>
      <w:r>
        <w:rPr>
          <w:rFonts w:hint="eastAsia" w:ascii="仿宋" w:hAnsi="仿宋" w:eastAsia="仿宋" w:cs="仿宋"/>
          <w:sz w:val="32"/>
          <w:szCs w:val="32"/>
        </w:rPr>
        <w:t>要积极参与配合，严格按照计划要求选派参训人员；参训人员要全身心投入培训，认真学习研究“双随机、一公开”监管工作政策、背景，熟练掌握河北省双随机监管工作平台的操作使用。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（二）培训的原则和形式。</w:t>
      </w:r>
      <w:r>
        <w:rPr>
          <w:rFonts w:hint="eastAsia" w:ascii="仿宋" w:hAnsi="仿宋" w:eastAsia="仿宋" w:cs="仿宋"/>
          <w:sz w:val="32"/>
          <w:szCs w:val="32"/>
        </w:rPr>
        <w:t>按照谁管人、谁培训的分级管理、分级培训原则组织培训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，突出</w:t>
      </w:r>
      <w:r>
        <w:rPr>
          <w:rFonts w:hint="eastAsia" w:ascii="仿宋" w:hAnsi="仿宋" w:eastAsia="仿宋" w:cs="仿宋"/>
          <w:sz w:val="32"/>
          <w:szCs w:val="32"/>
        </w:rPr>
        <w:t>抓好新员工和在职员工轮训的培训工作。在培训形式上，要结合单位实际,因地制宜、因材施教，外培与内训相结合，室内培训和现场培训相结合，选取最佳的方法和形式，组织开展培训。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附件：2022 年度“双随机、一公开”监管工作培训计划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/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sz w:val="44"/>
          <w:szCs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297180</wp:posOffset>
                </wp:positionV>
                <wp:extent cx="5715000" cy="35560"/>
                <wp:effectExtent l="0" t="4445" r="0" b="1714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355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3.4pt;height:2.8pt;width:450pt;z-index:251660288;mso-width-relative:page;mso-height-relative:page;" filled="f" stroked="t" coordsize="21600,21600" o:gfxdata="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9hViG9UAAAAGAQAADwAAAAAAAAABACAAAAAiAAAAZHJzL2Rvd25yZXYu&#10;eG1sUEsBAhQAFAAAAAgAh07iQGsSDcX+AQAA9gMAAA4AAAAAAAAAAQAgAAAAJA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firstLine="210" w:firstLineChars="1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332740</wp:posOffset>
                </wp:positionV>
                <wp:extent cx="5715000" cy="25400"/>
                <wp:effectExtent l="0" t="4445" r="0" b="82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25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6.2pt;height:2pt;width:450pt;z-index:251659264;mso-width-relative:page;mso-height-relative:page;" filled="f" stroked="t" coordsize="21600,21600" o:gfxdata="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LvKT+1AAAAAYBAAAPAAAAAAAAAAEAIAAAACIAAABkcnMvZG93bnJldi54bWxQ&#10;SwECFAAUAAAACACHTuJANgopVfsBAAD2AwAADgAAAAAAAAABACAAAAAj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曲阳县</w:t>
      </w:r>
      <w:r>
        <w:rPr>
          <w:rFonts w:hint="eastAsia" w:ascii="仿宋_GB2312" w:eastAsia="仿宋_GB2312"/>
          <w:sz w:val="32"/>
          <w:szCs w:val="32"/>
          <w:lang w:eastAsia="zh-CN"/>
        </w:rPr>
        <w:t>自然</w:t>
      </w:r>
      <w:r>
        <w:rPr>
          <w:rFonts w:hint="eastAsia" w:ascii="仿宋_GB2312" w:eastAsia="仿宋_GB2312"/>
          <w:sz w:val="32"/>
          <w:szCs w:val="32"/>
        </w:rPr>
        <w:t>资源</w:t>
      </w:r>
      <w:r>
        <w:rPr>
          <w:rFonts w:hint="eastAsia" w:ascii="仿宋_GB2312" w:eastAsia="仿宋_GB2312"/>
          <w:sz w:val="32"/>
          <w:szCs w:val="32"/>
          <w:lang w:eastAsia="zh-CN"/>
        </w:rPr>
        <w:t>和规划</w:t>
      </w:r>
      <w:r>
        <w:rPr>
          <w:rFonts w:hint="eastAsia" w:ascii="仿宋_GB2312" w:eastAsia="仿宋_GB2312"/>
          <w:sz w:val="32"/>
          <w:szCs w:val="32"/>
        </w:rPr>
        <w:t xml:space="preserve">局     </w:t>
      </w:r>
      <w:r>
        <w:rPr>
          <w:rFonts w:hint="eastAsia" w:ascii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日印</w:t>
      </w:r>
    </w:p>
    <w:p>
      <w:pPr>
        <w:pStyle w:val="4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                </w:t>
      </w:r>
      <w:r>
        <w:rPr>
          <w:rFonts w:hint="eastAsia" w:ascii="仿宋_GB2312" w:eastAsia="仿宋_GB2312"/>
          <w:sz w:val="32"/>
          <w:szCs w:val="32"/>
        </w:rPr>
        <w:t>（共印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份）</w:t>
      </w:r>
    </w:p>
    <w:p>
      <w:pPr>
        <w:rPr>
          <w:rFonts w:hint="eastAsia"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1440" w:right="1587" w:bottom="1440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曲阳县自然资源和规划局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2022 年度“双随机、一公开”监管工作培训计划</w:t>
      </w:r>
    </w:p>
    <w:tbl>
      <w:tblPr>
        <w:tblStyle w:val="6"/>
        <w:tblpPr w:leftFromText="180" w:rightFromText="180" w:vertAnchor="text" w:horzAnchor="page" w:tblpX="1942" w:tblpY="324"/>
        <w:tblOverlap w:val="never"/>
        <w:tblW w:w="135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609"/>
        <w:gridCol w:w="6736"/>
        <w:gridCol w:w="2495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6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培训内容</w:t>
            </w:r>
          </w:p>
        </w:tc>
        <w:tc>
          <w:tcPr>
            <w:tcW w:w="2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培训形式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</w:trPr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3—5月</w:t>
            </w:r>
          </w:p>
        </w:tc>
        <w:tc>
          <w:tcPr>
            <w:tcW w:w="6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《“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双随机、一公开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监管抽查工作规范》“双随机、一公开”监管工作政策解读；信用监管工作解读；“双随机、一公开”监管与企业信用风险分级分类相结合解读；河北省双随机监管工作平台使用培训及疑难问题解答。</w:t>
            </w:r>
          </w:p>
        </w:tc>
        <w:tc>
          <w:tcPr>
            <w:tcW w:w="24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各相关股室负责人及具体业务人员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现场培训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</w:trPr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5—8月</w:t>
            </w:r>
          </w:p>
        </w:tc>
        <w:tc>
          <w:tcPr>
            <w:tcW w:w="6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“双随机、一公开”监管工作政策解读；信用监管工作解读；“双随机、一公开”监管与企业信用风险分级分类相结合解读；各部门工作学习交流。</w:t>
            </w:r>
          </w:p>
        </w:tc>
        <w:tc>
          <w:tcPr>
            <w:tcW w:w="2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现场培训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</w:pPr>
    </w:p>
    <w:sectPr>
      <w:pgSz w:w="16838" w:h="11906" w:orient="landscape"/>
      <w:pgMar w:top="1587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N2NkYzVjNTRlYTEwNjFiNzJkOWNjOTdlYjIxNDIifQ=="/>
  </w:docVars>
  <w:rsids>
    <w:rsidRoot w:val="00000000"/>
    <w:rsid w:val="05625B36"/>
    <w:rsid w:val="0D116651"/>
    <w:rsid w:val="10F112B0"/>
    <w:rsid w:val="16007594"/>
    <w:rsid w:val="16FC4A6D"/>
    <w:rsid w:val="1E9E6049"/>
    <w:rsid w:val="26E56833"/>
    <w:rsid w:val="29BC768B"/>
    <w:rsid w:val="2B8D73EA"/>
    <w:rsid w:val="34BF7346"/>
    <w:rsid w:val="53181AE3"/>
    <w:rsid w:val="53190FD6"/>
    <w:rsid w:val="6A7339A6"/>
    <w:rsid w:val="6C293680"/>
    <w:rsid w:val="6FBE165F"/>
    <w:rsid w:val="705F6E65"/>
    <w:rsid w:val="718F66CD"/>
    <w:rsid w:val="72B3080B"/>
    <w:rsid w:val="73E95E79"/>
    <w:rsid w:val="7CF8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2"/>
    <w:basedOn w:val="1"/>
    <w:next w:val="1"/>
    <w:qFormat/>
    <w:uiPriority w:val="0"/>
    <w:pPr>
      <w:spacing w:line="400" w:lineRule="exact"/>
      <w:jc w:val="center"/>
    </w:pPr>
    <w:rPr>
      <w:rFonts w:ascii="黑体" w:eastAsia="黑体"/>
      <w:smallCaps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1159</Words>
  <Characters>1187</Characters>
  <Lines>0</Lines>
  <Paragraphs>0</Paragraphs>
  <TotalTime>9</TotalTime>
  <ScaleCrop>false</ScaleCrop>
  <LinksUpToDate>false</LinksUpToDate>
  <CharactersWithSpaces>1226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2022-03-09T07:07:00Z</dcterms:created>
  <dc:creator>Administrator.SKY-20190425MVF</dc:creator>
  <cp:lastModifiedBy>Administrator</cp:lastModifiedBy>
  <cp:lastPrinted>2022-08-31T07:46:30Z</cp:lastPrinted>
  <dcterms:modified xsi:type="dcterms:W3CDTF">2022-08-31T07:46:37Z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AE96831370A94FF9A05118DC00B5E02C</vt:lpwstr>
  </property>
</Properties>
</file>